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EC96" w14:textId="77777777" w:rsidR="006F599D" w:rsidRDefault="006F599D" w:rsidP="002A4814">
      <w:pPr>
        <w:spacing w:after="0"/>
      </w:pPr>
    </w:p>
    <w:tbl>
      <w:tblPr>
        <w:tblpPr w:leftFromText="141" w:rightFromText="141" w:vertAnchor="text" w:horzAnchor="margin" w:tblpXSpec="center" w:tblpY="83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6F599D" w:rsidRPr="00B22B5F" w14:paraId="2BEAC1FD" w14:textId="77777777" w:rsidTr="004469AD">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tcPr>
          <w:p w14:paraId="618AFBCD" w14:textId="77777777" w:rsidR="006F599D" w:rsidRPr="00DD2C30" w:rsidRDefault="006F599D"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6F599D" w:rsidRPr="00B22B5F" w14:paraId="351BAA86" w14:textId="77777777" w:rsidTr="004469AD">
        <w:trPr>
          <w:trHeight w:val="413"/>
        </w:trPr>
        <w:tc>
          <w:tcPr>
            <w:tcW w:w="5012" w:type="dxa"/>
            <w:tcBorders>
              <w:top w:val="nil"/>
              <w:left w:val="single" w:sz="8" w:space="0" w:color="000000"/>
              <w:bottom w:val="single" w:sz="8" w:space="0" w:color="000000"/>
              <w:right w:val="nil"/>
            </w:tcBorders>
            <w:shd w:val="clear" w:color="auto" w:fill="auto"/>
          </w:tcPr>
          <w:p w14:paraId="6820CA91" w14:textId="77777777" w:rsidR="006F599D" w:rsidRPr="00DD2C30" w:rsidRDefault="00DD2C30" w:rsidP="004469AD">
            <w:pPr>
              <w:spacing w:after="0"/>
              <w:rPr>
                <w:rFonts w:ascii="Arial" w:hAnsi="Arial" w:cs="Arial"/>
                <w:b/>
                <w:bCs/>
              </w:rPr>
            </w:pPr>
            <w:r w:rsidRPr="00DD2C30">
              <w:rPr>
                <w:rFonts w:ascii="Arial" w:hAnsi="Arial" w:cs="Arial"/>
                <w:b/>
                <w:bCs/>
              </w:rPr>
              <w:t>É</w:t>
            </w:r>
            <w:r w:rsidR="006F599D" w:rsidRPr="00DD2C30">
              <w:rPr>
                <w:rFonts w:ascii="Arial" w:hAnsi="Arial" w:cs="Arial"/>
                <w:b/>
                <w:bCs/>
              </w:rPr>
              <w:t xml:space="preserve">valuation ORALE </w:t>
            </w:r>
          </w:p>
          <w:p w14:paraId="4D081DB4" w14:textId="77777777" w:rsidR="006F599D" w:rsidRPr="00DD2C30" w:rsidRDefault="006F599D" w:rsidP="004469AD">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14:paraId="4B6853FD" w14:textId="77777777" w:rsidR="006F599D" w:rsidRPr="00DD2C30" w:rsidRDefault="002826C7" w:rsidP="004469AD">
            <w:pPr>
              <w:pStyle w:val="Default"/>
              <w:rPr>
                <w:rFonts w:ascii="Arial" w:hAnsi="Arial" w:cs="Arial"/>
                <w:color w:val="auto"/>
                <w:sz w:val="22"/>
                <w:szCs w:val="22"/>
              </w:rPr>
            </w:pPr>
            <w:r>
              <w:rPr>
                <w:rFonts w:ascii="Arial" w:hAnsi="Arial" w:cs="Arial"/>
                <w:b/>
                <w:bCs/>
                <w:color w:val="auto"/>
                <w:sz w:val="22"/>
                <w:szCs w:val="22"/>
              </w:rPr>
              <w:t>Coefficient 2</w:t>
            </w:r>
          </w:p>
          <w:p w14:paraId="2BA0063A" w14:textId="1850D6D0" w:rsidR="006F599D" w:rsidRPr="004469AD" w:rsidRDefault="002826C7" w:rsidP="004469AD">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tc>
      </w:tr>
      <w:tr w:rsidR="006F599D" w:rsidRPr="00B22B5F" w14:paraId="35A07D75" w14:textId="77777777" w:rsidTr="004469AD">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14:paraId="0169AD27" w14:textId="77777777" w:rsidR="006F599D" w:rsidRPr="00DD2C30" w:rsidRDefault="004616B1"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4E2455CF" w14:textId="77777777" w:rsidR="00DD2C30" w:rsidRPr="00DD2C30" w:rsidRDefault="00DD2C30" w:rsidP="004469AD">
            <w:pPr>
              <w:pStyle w:val="NormalWeb"/>
              <w:spacing w:before="0" w:beforeAutospacing="0" w:after="0" w:afterAutospacing="0"/>
              <w:rPr>
                <w:rFonts w:ascii="Arial" w:hAnsi="Arial" w:cs="Arial"/>
                <w:b/>
                <w:bCs/>
              </w:rPr>
            </w:pPr>
          </w:p>
          <w:p w14:paraId="62FCB938" w14:textId="77777777" w:rsidR="004616B1" w:rsidRPr="00DD2C30" w:rsidRDefault="001919B2"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145A888A"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3757929E" w14:textId="704DB3AA" w:rsidR="00CA370F"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78AC3740" w14:textId="77777777" w:rsidTr="004469AD">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68F9C4F9"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51066BA2" w14:textId="77777777" w:rsidR="00833533" w:rsidRPr="00B222E6" w:rsidRDefault="00833533"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B1C5316" w14:textId="6FF2733F" w:rsidR="00DD2C30" w:rsidRPr="00DD2C30" w:rsidRDefault="00833533" w:rsidP="004469AD">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tc>
      </w:tr>
      <w:tr w:rsidR="008A5BA3" w:rsidRPr="00B22B5F" w14:paraId="6E1717BB" w14:textId="77777777" w:rsidTr="004469AD">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14:paraId="01D07E4D"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368A00C0" w14:textId="77777777" w:rsidR="008A5BA3" w:rsidRPr="00DD2C30" w:rsidRDefault="00211E60"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674BA91B" w14:textId="77777777" w:rsidR="005A4A6B" w:rsidRPr="00DD2C30"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021155D9" w14:textId="54B43BCE" w:rsidR="00F4407A" w:rsidRPr="004469AD"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tc>
      </w:tr>
      <w:tr w:rsidR="00F4407A" w:rsidRPr="00B22B5F" w14:paraId="6083837D" w14:textId="77777777" w:rsidTr="004469AD">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06F66018" w14:textId="77777777" w:rsidR="00F4407A" w:rsidRPr="00DD2C30" w:rsidRDefault="0003512C"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34D12634" w14:textId="77777777" w:rsidR="00BC0B74" w:rsidRPr="00DD2C30" w:rsidRDefault="00BC0B74" w:rsidP="004469AD">
            <w:pPr>
              <w:pStyle w:val="NormalWeb"/>
              <w:spacing w:before="0" w:beforeAutospacing="0" w:after="0" w:afterAutospacing="0"/>
              <w:rPr>
                <w:rFonts w:ascii="Arial" w:hAnsi="Arial" w:cs="Arial"/>
                <w:bCs/>
                <w:sz w:val="22"/>
                <w:szCs w:val="22"/>
              </w:rPr>
            </w:pPr>
          </w:p>
          <w:p w14:paraId="56B3562E" w14:textId="77777777" w:rsidR="00FC3D56" w:rsidRPr="00DD2C30" w:rsidRDefault="00BC0B74"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38FE12E1" w14:textId="77777777" w:rsidR="00FC3D56" w:rsidRPr="00DD2C30" w:rsidRDefault="00FC3D56" w:rsidP="004469AD">
            <w:pPr>
              <w:pStyle w:val="NormalWeb"/>
              <w:spacing w:before="0" w:beforeAutospacing="0" w:after="0" w:afterAutospacing="0"/>
              <w:rPr>
                <w:rFonts w:ascii="Arial" w:hAnsi="Arial" w:cs="Arial"/>
                <w:bCs/>
                <w:sz w:val="22"/>
                <w:szCs w:val="22"/>
              </w:rPr>
            </w:pPr>
          </w:p>
          <w:p w14:paraId="0627185C" w14:textId="77777777" w:rsidR="00632A00" w:rsidRPr="00DD2C30" w:rsidRDefault="00632A00" w:rsidP="004469AD">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24DE3400" w14:textId="77777777" w:rsidR="001A45CA" w:rsidRPr="00DD2C30" w:rsidRDefault="001A45CA" w:rsidP="004469AD">
            <w:pPr>
              <w:pStyle w:val="NormalWeb"/>
              <w:spacing w:before="0" w:beforeAutospacing="0" w:after="0" w:afterAutospacing="0"/>
              <w:rPr>
                <w:rFonts w:ascii="Arial" w:hAnsi="Arial" w:cs="Arial"/>
                <w:bCs/>
                <w:sz w:val="22"/>
                <w:szCs w:val="22"/>
              </w:rPr>
            </w:pPr>
          </w:p>
          <w:p w14:paraId="1FA6ECC6" w14:textId="216732FE" w:rsidR="00FC3D56" w:rsidRPr="004469AD" w:rsidRDefault="008D2761" w:rsidP="004469AD">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61D631BB" w14:textId="77777777" w:rsidR="00D65D38" w:rsidRPr="00DD2C30" w:rsidRDefault="00B22F57"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713ECFE9"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11BB1CF3"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52526121" w14:textId="77777777" w:rsidR="008865B1" w:rsidRPr="00DD2C30"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3D651A70" w14:textId="77777777" w:rsidR="008865B1"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6AB4004B"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167C33A3" w14:textId="0F1BF5FF" w:rsidR="00632A00"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3EB8E232" w14:textId="77777777" w:rsidR="004469AD" w:rsidRPr="00700ECC" w:rsidRDefault="004469AD" w:rsidP="004469AD">
            <w:pPr>
              <w:pStyle w:val="NormalWeb"/>
              <w:numPr>
                <w:ilvl w:val="0"/>
                <w:numId w:val="1"/>
              </w:numPr>
              <w:spacing w:before="0" w:beforeAutospacing="0" w:after="0" w:afterAutospacing="0"/>
              <w:rPr>
                <w:rFonts w:ascii="Arial" w:hAnsi="Arial" w:cs="Arial"/>
                <w:bCs/>
                <w:sz w:val="22"/>
                <w:szCs w:val="22"/>
              </w:rPr>
            </w:pPr>
          </w:p>
          <w:p w14:paraId="35D5A764" w14:textId="77777777" w:rsidR="00F4407A" w:rsidRPr="00DD2C30" w:rsidRDefault="00732971"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30583C49" w14:textId="77777777" w:rsidR="00700ECC" w:rsidRDefault="00700ECC">
      <w:r>
        <w:br w:type="page"/>
      </w:r>
    </w:p>
    <w:p w14:paraId="440D893F" w14:textId="77777777" w:rsidR="00186081" w:rsidRDefault="00186081" w:rsidP="002A4814">
      <w:pPr>
        <w:spacing w:after="0"/>
      </w:pPr>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42F7AA1"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sidRPr="004F792B">
              <w:rPr>
                <w:rFonts w:ascii="Arial" w:hAnsi="Arial" w:cs="Arial"/>
                <w:b/>
                <w:bCs/>
                <w:color w:val="4F81BD" w:themeColor="accent1"/>
                <w:sz w:val="22"/>
                <w:szCs w:val="22"/>
              </w:rPr>
              <w:t>SESSION 202</w:t>
            </w:r>
            <w:r w:rsidR="004F792B" w:rsidRPr="004F792B">
              <w:rPr>
                <w:rFonts w:ascii="Arial" w:hAnsi="Arial" w:cs="Arial"/>
                <w:b/>
                <w:bCs/>
                <w:color w:val="4F81BD" w:themeColor="accent1"/>
                <w:sz w:val="22"/>
                <w:szCs w:val="22"/>
              </w:rPr>
              <w:t>2</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48AFB29A" w:rsidR="004F792B" w:rsidRPr="004F792B" w:rsidRDefault="00471FD1" w:rsidP="004F792B">
            <w:pPr>
              <w:pStyle w:val="NormalWeb"/>
              <w:spacing w:before="0" w:after="0"/>
              <w:outlineLvl w:val="0"/>
              <w:rPr>
                <w:rFonts w:ascii="Calibri" w:hAnsi="Calibri" w:cs="Calibri"/>
                <w:b/>
                <w:color w:val="000000"/>
              </w:rPr>
            </w:pPr>
            <w:r w:rsidRPr="001A2F00">
              <w:rPr>
                <w:rFonts w:ascii="Arial" w:hAnsi="Arial" w:cs="Arial"/>
                <w:color w:val="000000"/>
                <w:sz w:val="22"/>
                <w:szCs w:val="22"/>
              </w:rPr>
              <w:t>Intitulé du diplôme préparé :</w:t>
            </w:r>
            <w:r w:rsidR="004F792B">
              <w:rPr>
                <w:rFonts w:ascii="Arial" w:hAnsi="Arial" w:cs="Arial"/>
                <w:color w:val="000000"/>
                <w:sz w:val="22"/>
                <w:szCs w:val="22"/>
              </w:rPr>
              <w:t xml:space="preserve">                                </w:t>
            </w:r>
            <w:r w:rsidR="004F792B" w:rsidRPr="004F792B">
              <w:rPr>
                <w:rFonts w:ascii="Calibri" w:hAnsi="Calibri" w:cs="Calibri"/>
                <w:b/>
                <w:bCs/>
                <w:color w:val="4F81BD" w:themeColor="accent1"/>
                <w:shd w:val="clear" w:color="auto" w:fill="FFFFFF"/>
              </w:rPr>
              <w:t>Bac pro Accompagnement, soins et services à la personne option B en structure</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15D9B8FE" w14:textId="77777777" w:rsidTr="00700ECC">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358C0170" w14:textId="77777777" w:rsidR="0086667B" w:rsidRDefault="0086667B" w:rsidP="002A4814">
      <w:pPr>
        <w:spacing w:after="0"/>
        <w:rPr>
          <w:rFonts w:ascii="Arial" w:hAnsi="Arial" w:cs="Arial"/>
          <w:sz w:val="20"/>
          <w:szCs w:val="20"/>
        </w:rPr>
        <w:sectPr w:rsidR="0086667B" w:rsidSect="00292451">
          <w:headerReference w:type="default" r:id="rId7"/>
          <w:pgSz w:w="11906" w:h="16838"/>
          <w:pgMar w:top="426" w:right="1417" w:bottom="851" w:left="1417" w:header="708" w:footer="708" w:gutter="0"/>
          <w:cols w:space="708"/>
          <w:docGrid w:linePitch="360"/>
        </w:sectPr>
      </w:pPr>
    </w:p>
    <w:p w14:paraId="571FE35A" w14:textId="77777777" w:rsidR="0086667B" w:rsidRDefault="0086667B"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8"/>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5F3F" w14:textId="77777777" w:rsidR="00485919" w:rsidRDefault="00485919" w:rsidP="004469AD">
      <w:pPr>
        <w:spacing w:after="0" w:line="240" w:lineRule="auto"/>
      </w:pPr>
      <w:r>
        <w:separator/>
      </w:r>
    </w:p>
  </w:endnote>
  <w:endnote w:type="continuationSeparator" w:id="0">
    <w:p w14:paraId="0BA6A1A8" w14:textId="77777777" w:rsidR="00485919" w:rsidRDefault="00485919"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B416" w14:textId="77777777" w:rsidR="00485919" w:rsidRDefault="00485919" w:rsidP="004469AD">
      <w:pPr>
        <w:spacing w:after="0" w:line="240" w:lineRule="auto"/>
      </w:pPr>
      <w:r>
        <w:separator/>
      </w:r>
    </w:p>
  </w:footnote>
  <w:footnote w:type="continuationSeparator" w:id="0">
    <w:p w14:paraId="68E3B9F9" w14:textId="77777777" w:rsidR="00485919" w:rsidRDefault="00485919"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642E" w14:textId="35F6E2F7" w:rsidR="004469AD" w:rsidRDefault="007B78E9">
    <w:pPr>
      <w:pStyle w:val="En-tte"/>
    </w:pPr>
    <w:r w:rsidRPr="004469AD">
      <w:rPr>
        <w:noProof/>
      </w:rPr>
      <w:drawing>
        <wp:anchor distT="0" distB="0" distL="114300" distR="114300" simplePos="0" relativeHeight="251660288" behindDoc="1" locked="0" layoutInCell="1" allowOverlap="1" wp14:anchorId="12BF0A78" wp14:editId="4E1B66C7">
          <wp:simplePos x="0" y="0"/>
          <wp:positionH relativeFrom="column">
            <wp:posOffset>4691380</wp:posOffset>
          </wp:positionH>
          <wp:positionV relativeFrom="paragraph">
            <wp:posOffset>-321945</wp:posOffset>
          </wp:positionV>
          <wp:extent cx="1458595" cy="1018540"/>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59264" behindDoc="0" locked="0" layoutInCell="1" allowOverlap="1" wp14:anchorId="71B862D1" wp14:editId="3AAEE9B6">
          <wp:simplePos x="0" y="0"/>
          <wp:positionH relativeFrom="column">
            <wp:posOffset>-461757</wp:posOffset>
          </wp:positionH>
          <wp:positionV relativeFrom="paragraph">
            <wp:posOffset>-154940</wp:posOffset>
          </wp:positionV>
          <wp:extent cx="2058035" cy="1072515"/>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600" w14:textId="1EF4422B" w:rsidR="007B78E9" w:rsidRDefault="007B78E9">
    <w:pPr>
      <w:pStyle w:val="En-tte"/>
    </w:pPr>
    <w:r w:rsidRPr="004469AD">
      <w:rPr>
        <w:noProof/>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51530"/>
    <w:rsid w:val="00060EC2"/>
    <w:rsid w:val="00090B65"/>
    <w:rsid w:val="001136C0"/>
    <w:rsid w:val="00124BEA"/>
    <w:rsid w:val="001267B0"/>
    <w:rsid w:val="00151287"/>
    <w:rsid w:val="00180E81"/>
    <w:rsid w:val="00186081"/>
    <w:rsid w:val="001919B2"/>
    <w:rsid w:val="0019472E"/>
    <w:rsid w:val="001A2F00"/>
    <w:rsid w:val="001A45CA"/>
    <w:rsid w:val="001A6F34"/>
    <w:rsid w:val="001B55F4"/>
    <w:rsid w:val="001D75C4"/>
    <w:rsid w:val="00211E60"/>
    <w:rsid w:val="00257841"/>
    <w:rsid w:val="002720A6"/>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469AD"/>
    <w:rsid w:val="004616B1"/>
    <w:rsid w:val="00471FD1"/>
    <w:rsid w:val="00484261"/>
    <w:rsid w:val="00485919"/>
    <w:rsid w:val="004B477F"/>
    <w:rsid w:val="004D15FD"/>
    <w:rsid w:val="004F792B"/>
    <w:rsid w:val="00512699"/>
    <w:rsid w:val="00540941"/>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B78E9"/>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7185E"/>
    <w:rsid w:val="00BC0B74"/>
    <w:rsid w:val="00BD123C"/>
    <w:rsid w:val="00BD289A"/>
    <w:rsid w:val="00BD456B"/>
    <w:rsid w:val="00BD7545"/>
    <w:rsid w:val="00C30E2B"/>
    <w:rsid w:val="00C574D9"/>
    <w:rsid w:val="00C61982"/>
    <w:rsid w:val="00C6785E"/>
    <w:rsid w:val="00C8160D"/>
    <w:rsid w:val="00CA370F"/>
    <w:rsid w:val="00CB3609"/>
    <w:rsid w:val="00CE7CF4"/>
    <w:rsid w:val="00CF4537"/>
    <w:rsid w:val="00D07606"/>
    <w:rsid w:val="00D170B9"/>
    <w:rsid w:val="00D2375C"/>
    <w:rsid w:val="00D62771"/>
    <w:rsid w:val="00D65D38"/>
    <w:rsid w:val="00D733F2"/>
    <w:rsid w:val="00D74E76"/>
    <w:rsid w:val="00D8456D"/>
    <w:rsid w:val="00DB0A15"/>
    <w:rsid w:val="00DB1E27"/>
    <w:rsid w:val="00DB2C90"/>
    <w:rsid w:val="00DC0EB8"/>
    <w:rsid w:val="00DC6977"/>
    <w:rsid w:val="00DD2C30"/>
    <w:rsid w:val="00E06D00"/>
    <w:rsid w:val="00E174C6"/>
    <w:rsid w:val="00E57562"/>
    <w:rsid w:val="00E96258"/>
    <w:rsid w:val="00EC07CD"/>
    <w:rsid w:val="00EC0F8B"/>
    <w:rsid w:val="00ED7D08"/>
    <w:rsid w:val="00EF2572"/>
    <w:rsid w:val="00EF37AE"/>
    <w:rsid w:val="00EF5F20"/>
    <w:rsid w:val="00F2264F"/>
    <w:rsid w:val="00F43D19"/>
    <w:rsid w:val="00F4407A"/>
    <w:rsid w:val="00FB5BA0"/>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Ccile taddei</cp:lastModifiedBy>
  <cp:revision>3</cp:revision>
  <cp:lastPrinted>2022-02-01T09:46:00Z</cp:lastPrinted>
  <dcterms:created xsi:type="dcterms:W3CDTF">2022-02-01T09:41:00Z</dcterms:created>
  <dcterms:modified xsi:type="dcterms:W3CDTF">2022-02-01T09:51:00Z</dcterms:modified>
</cp:coreProperties>
</file>